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38" w:rsidRPr="00CB2638" w:rsidRDefault="00CB2638" w:rsidP="00CB2638">
      <w:pPr>
        <w:shd w:val="clear" w:color="auto" w:fill="FFFFFF"/>
        <w:spacing w:after="0" w:line="240" w:lineRule="auto"/>
        <w:rPr>
          <w:rFonts w:ascii="Arial" w:eastAsia="Times New Roman" w:hAnsi="Arial" w:cs="Arial"/>
          <w:color w:val="191970"/>
          <w:sz w:val="30"/>
          <w:szCs w:val="30"/>
          <w:lang w:eastAsia="nl-NL"/>
        </w:rPr>
      </w:pPr>
      <w:r w:rsidRPr="00CB2638">
        <w:rPr>
          <w:rFonts w:ascii="Arial" w:eastAsia="Times New Roman" w:hAnsi="Arial" w:cs="Arial"/>
          <w:color w:val="191970"/>
          <w:sz w:val="30"/>
          <w:szCs w:val="30"/>
          <w:lang w:eastAsia="nl-NL"/>
        </w:rPr>
        <w:t>Burgerlijk wetboek - boek 1 - personen- en familierecht</w:t>
      </w:r>
    </w:p>
    <w:p w:rsidR="00CB2638" w:rsidRPr="00CB2638" w:rsidRDefault="00DB4BB1" w:rsidP="00CB2638">
      <w:pPr>
        <w:shd w:val="clear" w:color="auto" w:fill="FFFFFF"/>
        <w:spacing w:after="0" w:line="240" w:lineRule="auto"/>
        <w:rPr>
          <w:rFonts w:ascii="Arial" w:eastAsia="Times New Roman" w:hAnsi="Arial" w:cs="Arial"/>
          <w:color w:val="8B4513"/>
          <w:sz w:val="17"/>
          <w:szCs w:val="17"/>
          <w:lang w:eastAsia="nl-NL"/>
        </w:rPr>
      </w:pPr>
      <w:hyperlink r:id="rId4" w:history="1">
        <w:r w:rsidR="00CB2638" w:rsidRPr="00CB2638">
          <w:rPr>
            <w:rFonts w:ascii="Arial" w:eastAsia="Times New Roman" w:hAnsi="Arial" w:cs="Arial"/>
            <w:color w:val="8B4513"/>
            <w:sz w:val="17"/>
            <w:szCs w:val="17"/>
            <w:lang w:eastAsia="nl-NL"/>
          </w:rPr>
          <w:t>Klik hier voor de inhoudsopgave</w:t>
        </w:r>
      </w:hyperlink>
    </w:p>
    <w:p w:rsidR="00CB2638" w:rsidRPr="00CB2638" w:rsidRDefault="00CB2638" w:rsidP="00CB2638">
      <w:pPr>
        <w:shd w:val="clear" w:color="auto" w:fill="F7FAFC"/>
        <w:spacing w:after="0" w:line="240" w:lineRule="auto"/>
        <w:ind w:left="150" w:right="150"/>
        <w:rPr>
          <w:rFonts w:ascii="Arial" w:eastAsia="Times New Roman" w:hAnsi="Arial" w:cs="Arial"/>
          <w:color w:val="191970"/>
          <w:sz w:val="18"/>
          <w:szCs w:val="18"/>
          <w:lang w:eastAsia="nl-NL"/>
        </w:rPr>
      </w:pP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0" w:name="artikel_438"/>
      <w:r w:rsidRPr="00CB2638">
        <w:rPr>
          <w:rFonts w:ascii="Arial" w:eastAsia="Times New Roman" w:hAnsi="Arial" w:cs="Arial"/>
          <w:color w:val="1E90FF"/>
          <w:sz w:val="18"/>
          <w:szCs w:val="18"/>
          <w:lang w:eastAsia="nl-NL"/>
        </w:rPr>
        <w:t>Artikel 438</w:t>
      </w:r>
      <w:bookmarkEnd w:id="0"/>
      <w:r w:rsidRPr="00CB2638">
        <w:rPr>
          <w:rFonts w:ascii="Arial" w:eastAsia="Times New Roman" w:hAnsi="Arial" w:cs="Arial"/>
          <w:color w:val="FC8207"/>
          <w:sz w:val="18"/>
          <w:szCs w:val="18"/>
          <w:lang w:eastAsia="nl-NL"/>
        </w:rPr>
        <w:t>Beheer goederen</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1.Tijdens het bewind komt het beheer over de onder bewind staande goederen niet toe aan de rechthebbende maar aan de bewindvoerder.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2.Tijdens het bewind kan de rechthebbende slechts met medewerking van de bewindvoerder of, indien deze weigerachtig is, met machtiging van de kantonrechter over de onder het bewind staande goederen beschikken.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 w:name="artikel_439"/>
      <w:r w:rsidRPr="00CB2638">
        <w:rPr>
          <w:rFonts w:ascii="Arial" w:eastAsia="Times New Roman" w:hAnsi="Arial" w:cs="Arial"/>
          <w:color w:val="1E90FF"/>
          <w:sz w:val="18"/>
          <w:szCs w:val="18"/>
          <w:lang w:eastAsia="nl-NL"/>
        </w:rPr>
        <w:t>Artikel 439</w:t>
      </w:r>
      <w:bookmarkEnd w:id="1"/>
      <w:r w:rsidRPr="00CB2638">
        <w:rPr>
          <w:rFonts w:ascii="Arial" w:eastAsia="Times New Roman" w:hAnsi="Arial" w:cs="Arial"/>
          <w:color w:val="FC8207"/>
          <w:sz w:val="18"/>
          <w:szCs w:val="18"/>
          <w:lang w:eastAsia="nl-NL"/>
        </w:rPr>
        <w:t>Tegenwerping ongeldige rechtshandeling aan wederpartij</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1.Indien een rechtshandeling ongeldig is, omdat zij ondanks het bewind werd verricht door of gericht tot de rechthebbende, kan deze ongeldigheid aan de wederpartij slechts worden tegengeworpen, zo deze het bewind kende of had behoren te kennen.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2.Indien een goed is vervreemd of bezwaard door iemand die daartoe ingevolge het bewind niet bevoegd was, kan deze onbevoegdheid aan een verkrijger van het goed of een beperkt recht daarop slechts worden tegengeworpen, zo deze het bewind kende of had behoren te kennen.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 w:name="artikel_440"/>
      <w:r w:rsidRPr="00CB2638">
        <w:rPr>
          <w:rFonts w:ascii="Arial" w:eastAsia="Times New Roman" w:hAnsi="Arial" w:cs="Arial"/>
          <w:color w:val="1E90FF"/>
          <w:sz w:val="18"/>
          <w:szCs w:val="18"/>
          <w:lang w:eastAsia="nl-NL"/>
        </w:rPr>
        <w:t>Artikel 440</w:t>
      </w:r>
      <w:bookmarkEnd w:id="2"/>
      <w:r w:rsidRPr="00CB2638">
        <w:rPr>
          <w:rFonts w:ascii="Arial" w:eastAsia="Times New Roman" w:hAnsi="Arial" w:cs="Arial"/>
          <w:color w:val="FC8207"/>
          <w:sz w:val="18"/>
          <w:szCs w:val="18"/>
          <w:lang w:eastAsia="nl-NL"/>
        </w:rPr>
        <w:t>Verhaalsrecht schuldeisers</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1.Gedurende het bewind kunnen schulden die voortspruiten uit een handeling, tijdens het bewind met of jegens de rechthebbende, anders dan in overeenstemming met artikel 438, lid 2, verricht door een schuldeiser die het bewind kende of had behoren te kennen, niet op de onder het bewind staande goederen worden verhaald.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2.Indien de onderbewindstelling alle goederen betreft die daarvoor krachtens artikel 431, eerste lid, in aanmerking komen, is het vorige lid van overeenkomstige toepassing ten aanzien van niet onder het bewind staande goederen waarop verhaal mogelijk zou zijn.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3" w:name="artikel_441"/>
      <w:r w:rsidRPr="00CB2638">
        <w:rPr>
          <w:rFonts w:ascii="Arial" w:eastAsia="Times New Roman" w:hAnsi="Arial" w:cs="Arial"/>
          <w:color w:val="1E90FF"/>
          <w:sz w:val="18"/>
          <w:szCs w:val="18"/>
          <w:lang w:eastAsia="nl-NL"/>
        </w:rPr>
        <w:t>Artikel 441</w:t>
      </w:r>
      <w:bookmarkEnd w:id="3"/>
      <w:r w:rsidRPr="00CB2638">
        <w:rPr>
          <w:rFonts w:ascii="Arial" w:eastAsia="Times New Roman" w:hAnsi="Arial" w:cs="Arial"/>
          <w:color w:val="FC8207"/>
          <w:sz w:val="18"/>
          <w:szCs w:val="18"/>
          <w:lang w:eastAsia="nl-NL"/>
        </w:rPr>
        <w:t>Taken bewindvoerder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w:t>
      </w:r>
      <w:r w:rsidRPr="00CB2638">
        <w:rPr>
          <w:rFonts w:ascii="Arial" w:eastAsia="Times New Roman" w:hAnsi="Arial" w:cs="Arial"/>
          <w:color w:val="000000"/>
          <w:sz w:val="18"/>
          <w:szCs w:val="18"/>
          <w:shd w:val="clear" w:color="auto" w:fill="FFFFDD"/>
          <w:lang w:eastAsia="nl-NL"/>
        </w:rPr>
        <w:t>Tijdens het bewind vertegenwoordigt de bewindvoerder bij de vervulling van zijn taak de</w:t>
      </w:r>
      <w:r w:rsidRPr="00CB2638">
        <w:rPr>
          <w:rFonts w:ascii="Arial" w:eastAsia="Times New Roman" w:hAnsi="Arial" w:cs="Arial"/>
          <w:color w:val="191970"/>
          <w:sz w:val="18"/>
          <w:szCs w:val="18"/>
          <w:lang w:eastAsia="nl-NL"/>
        </w:rPr>
        <w:t xml:space="preserve">rechthebbende in en buiten rechte. </w:t>
      </w:r>
      <w:r w:rsidRPr="00A12037">
        <w:rPr>
          <w:rFonts w:ascii="Arial" w:eastAsia="Times New Roman" w:hAnsi="Arial" w:cs="Arial"/>
          <w:color w:val="191970"/>
          <w:sz w:val="18"/>
          <w:szCs w:val="18"/>
          <w:u w:val="single"/>
          <w:lang w:eastAsia="nl-NL"/>
        </w:rPr>
        <w:t>De bewindvoerder draagt zorg voor een doelmatige belegging van het vermogen van de rechthebbende,</w:t>
      </w:r>
      <w:r w:rsidRPr="00CB2638">
        <w:rPr>
          <w:rFonts w:ascii="Arial" w:eastAsia="Times New Roman" w:hAnsi="Arial" w:cs="Arial"/>
          <w:color w:val="191970"/>
          <w:sz w:val="18"/>
          <w:szCs w:val="18"/>
          <w:lang w:eastAsia="nl-NL"/>
        </w:rPr>
        <w:t xml:space="preserve"> voor zover dit onder het bewind staat en niet besteed behoort te worden voor een voldoende verzorging van de rechthebbende.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 xml:space="preserve">2.Hij </w:t>
      </w:r>
      <w:r w:rsidRPr="00A12037">
        <w:rPr>
          <w:rFonts w:ascii="Arial" w:eastAsia="Times New Roman" w:hAnsi="Arial" w:cs="Arial"/>
          <w:color w:val="191970"/>
          <w:sz w:val="18"/>
          <w:szCs w:val="18"/>
          <w:u w:val="single"/>
          <w:lang w:eastAsia="nl-NL"/>
        </w:rPr>
        <w:t>behoeft echter toestemming van de rechthebbende of</w:t>
      </w:r>
      <w:r w:rsidRPr="00CB2638">
        <w:rPr>
          <w:rFonts w:ascii="Arial" w:eastAsia="Times New Roman" w:hAnsi="Arial" w:cs="Arial"/>
          <w:color w:val="191970"/>
          <w:sz w:val="18"/>
          <w:szCs w:val="18"/>
          <w:lang w:eastAsia="nl-NL"/>
        </w:rPr>
        <w:t xml:space="preserve">, indien deze daartoe niet in staat of weigerachtig is, machtiging van de kantonrechter </w:t>
      </w:r>
      <w:r w:rsidRPr="00A12037">
        <w:rPr>
          <w:rFonts w:ascii="Arial" w:eastAsia="Times New Roman" w:hAnsi="Arial" w:cs="Arial"/>
          <w:color w:val="191970"/>
          <w:sz w:val="18"/>
          <w:szCs w:val="18"/>
          <w:u w:val="single"/>
          <w:lang w:eastAsia="nl-NL"/>
        </w:rPr>
        <w:t>voor de volgende handelingen</w:t>
      </w:r>
      <w:r w:rsidRPr="00CB2638">
        <w:rPr>
          <w:rFonts w:ascii="Arial" w:eastAsia="Times New Roman" w:hAnsi="Arial" w:cs="Arial"/>
          <w:color w:val="191970"/>
          <w:sz w:val="18"/>
          <w:szCs w:val="18"/>
          <w:lang w:eastAsia="nl-NL"/>
        </w:rPr>
        <w:t>: </w:t>
      </w:r>
      <w:r w:rsidRPr="00CB2638">
        <w:rPr>
          <w:rFonts w:ascii="Arial" w:eastAsia="Times New Roman" w:hAnsi="Arial" w:cs="Arial"/>
          <w:color w:val="191970"/>
          <w:sz w:val="18"/>
          <w:szCs w:val="18"/>
          <w:lang w:eastAsia="nl-NL"/>
        </w:rPr>
        <w:br/>
        <w:t>a. beschikken en aangaan van overeenkomsten tot beschikking over een onder het bewind staand goed, tenzij de handeling als een gewone beheersdaad kan worden beschouwd of krachtens rechterlijk bevel geschiedt; </w:t>
      </w:r>
      <w:r w:rsidRPr="00CB2638">
        <w:rPr>
          <w:rFonts w:ascii="Arial" w:eastAsia="Times New Roman" w:hAnsi="Arial" w:cs="Arial"/>
          <w:color w:val="191970"/>
          <w:sz w:val="18"/>
          <w:szCs w:val="18"/>
          <w:lang w:eastAsia="nl-NL"/>
        </w:rPr>
        <w:br/>
        <w:t xml:space="preserve">b. </w:t>
      </w:r>
      <w:r w:rsidRPr="00A12037">
        <w:rPr>
          <w:rFonts w:ascii="Arial" w:eastAsia="Times New Roman" w:hAnsi="Arial" w:cs="Arial"/>
          <w:color w:val="191970"/>
          <w:sz w:val="18"/>
          <w:szCs w:val="18"/>
          <w:u w:val="single"/>
          <w:lang w:eastAsia="nl-NL"/>
        </w:rPr>
        <w:t>een making of gift waaraan lasten of voorwaarden zijn verbonden, aannemen</w:t>
      </w:r>
      <w:r w:rsidRPr="00CB2638">
        <w:rPr>
          <w:rFonts w:ascii="Arial" w:eastAsia="Times New Roman" w:hAnsi="Arial" w:cs="Arial"/>
          <w:color w:val="191970"/>
          <w:sz w:val="18"/>
          <w:szCs w:val="18"/>
          <w:lang w:eastAsia="nl-NL"/>
        </w:rPr>
        <w:t>; </w:t>
      </w:r>
      <w:r w:rsidRPr="00CB2638">
        <w:rPr>
          <w:rFonts w:ascii="Arial" w:eastAsia="Times New Roman" w:hAnsi="Arial" w:cs="Arial"/>
          <w:color w:val="191970"/>
          <w:sz w:val="18"/>
          <w:szCs w:val="18"/>
          <w:lang w:eastAsia="nl-NL"/>
        </w:rPr>
        <w:br/>
        <w:t xml:space="preserve">c. </w:t>
      </w:r>
      <w:r w:rsidRPr="00A12037">
        <w:rPr>
          <w:rFonts w:ascii="Arial" w:eastAsia="Times New Roman" w:hAnsi="Arial" w:cs="Arial"/>
          <w:color w:val="191970"/>
          <w:sz w:val="18"/>
          <w:szCs w:val="18"/>
          <w:u w:val="single"/>
          <w:lang w:eastAsia="nl-NL"/>
        </w:rPr>
        <w:t>geld lenen of de rechthebbende als borg of hoofdelijke medeschuldenaar verbinden</w:t>
      </w:r>
      <w:r w:rsidRPr="00CB2638">
        <w:rPr>
          <w:rFonts w:ascii="Arial" w:eastAsia="Times New Roman" w:hAnsi="Arial" w:cs="Arial"/>
          <w:color w:val="191970"/>
          <w:sz w:val="18"/>
          <w:szCs w:val="18"/>
          <w:lang w:eastAsia="nl-NL"/>
        </w:rPr>
        <w:t>; </w:t>
      </w:r>
      <w:r w:rsidRPr="00CB2638">
        <w:rPr>
          <w:rFonts w:ascii="Arial" w:eastAsia="Times New Roman" w:hAnsi="Arial" w:cs="Arial"/>
          <w:color w:val="191970"/>
          <w:sz w:val="18"/>
          <w:szCs w:val="18"/>
          <w:lang w:eastAsia="nl-NL"/>
        </w:rPr>
        <w:br/>
        <w:t>d. overeenkomen dat een boedel, waartoe de rechthebbende gerechtigd is, voor een bepaalde tijd onverdeeld wordt gelaten; </w:t>
      </w:r>
      <w:r w:rsidRPr="00CB2638">
        <w:rPr>
          <w:rFonts w:ascii="Arial" w:eastAsia="Times New Roman" w:hAnsi="Arial" w:cs="Arial"/>
          <w:color w:val="191970"/>
          <w:sz w:val="18"/>
          <w:szCs w:val="18"/>
          <w:lang w:eastAsia="nl-NL"/>
        </w:rPr>
        <w:br/>
        <w:t>e. het aangaan, buiten het geval van artikel 87 van het Wetboek van Burgerlijke Rechtsvordering, van een overeenkomst tot het beëindigen van een geschil, tenzij het voorwerp van het geschil een waarde van € 700 niet te boven gaat; </w:t>
      </w:r>
      <w:r w:rsidRPr="00CB2638">
        <w:rPr>
          <w:rFonts w:ascii="Arial" w:eastAsia="Times New Roman" w:hAnsi="Arial" w:cs="Arial"/>
          <w:color w:val="191970"/>
          <w:sz w:val="18"/>
          <w:szCs w:val="18"/>
          <w:lang w:eastAsia="nl-NL"/>
        </w:rPr>
        <w:br/>
        <w:t>f. andere bij de instelling van het bewind of nadien aangewezen handelingen.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3.De kantonrechter kan ook aan de bewindvoerder een doorlopende machtiging met zodanige voorwaarden als hij geraden acht, verlenen om handelingen als in het vorige lid bedoeld te verrichten en een verleende machtiging te allen tijde wijzigen of intrekken.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 xml:space="preserve">4.De bewindvoerder is, met uitsluiting van de rechthebbende, bevoegd de verdeling te vorderen van goederen, waarvan een onverdeeld aandeel tot zijn bewind behoort. Tot een verdeling, ook al geschiedt zij </w:t>
      </w:r>
      <w:r w:rsidRPr="00CB2638">
        <w:rPr>
          <w:rFonts w:ascii="Arial" w:eastAsia="Times New Roman" w:hAnsi="Arial" w:cs="Arial"/>
          <w:color w:val="191970"/>
          <w:sz w:val="18"/>
          <w:szCs w:val="18"/>
          <w:lang w:eastAsia="nl-NL"/>
        </w:rPr>
        <w:lastRenderedPageBreak/>
        <w:t>krachtens rechterlijk bevel, behoeft de bewindvoerder toestemming of machtiging overeenkomstig het tweede lid. De kantonrechter kan, in stede van machtiging te verlenen, met overeenkomstige toepassing van artikel 181 van Boek 3 een onzijdig persoon benoemen, die in plaats van de bewindvoerder de rechthebbende bij de verdeling vertegenwoordigt.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5.De bewindvoerder is, met uitsluiting van de rechthebbende, bevoegd een aan de rechthebbende opgekomen nalatenschap te aanvaarden. Tenzij de aanvaarding geschiedt met toestemming van de rechthebbende, kan de bewindvoerder niet anders aanvaarden dan onder het voorrecht van boedelbeschrijving.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4" w:name="artikel_442"/>
      <w:r w:rsidRPr="00CB2638">
        <w:rPr>
          <w:rFonts w:ascii="Arial" w:eastAsia="Times New Roman" w:hAnsi="Arial" w:cs="Arial"/>
          <w:color w:val="1E90FF"/>
          <w:sz w:val="18"/>
          <w:szCs w:val="18"/>
          <w:lang w:eastAsia="nl-NL"/>
        </w:rPr>
        <w:t>Artikel 442</w:t>
      </w:r>
      <w:bookmarkEnd w:id="4"/>
      <w:r w:rsidRPr="00CB2638">
        <w:rPr>
          <w:rFonts w:ascii="Arial" w:eastAsia="Times New Roman" w:hAnsi="Arial" w:cs="Arial"/>
          <w:color w:val="FC8207"/>
          <w:sz w:val="18"/>
          <w:szCs w:val="18"/>
          <w:lang w:eastAsia="nl-NL"/>
        </w:rPr>
        <w:t>Bescherming wederpartij bewindvoerder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1.Heeft iemand als bewindvoerder een rechtshandeling verricht, dan richten de rechten en verplichtingen van de wederpartij zich naar hetgeen dienaangaande is bepaald in titel 3 van Boek 3. Regels die de bevoegdheid van een bewindvoerder betreffen en feiten die voor een oordeel omtrent zijn bevoegdheid van belang zijn, kunnen niet aan de wederpartij worden tegengeworpen, indien deze daarmee niet bekend was of had behoren te zijn.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w:t>
      </w:r>
      <w:r w:rsidRPr="002564DF">
        <w:rPr>
          <w:rFonts w:ascii="Arial" w:eastAsia="Times New Roman" w:hAnsi="Arial" w:cs="Arial"/>
          <w:color w:val="191970"/>
          <w:sz w:val="18"/>
          <w:szCs w:val="18"/>
          <w:u w:val="single"/>
          <w:lang w:eastAsia="nl-NL"/>
        </w:rPr>
        <w:t>De rechthebbende is, onverminderd het bepaalde in artikel 172 van Boek 6, aansprakelijk voor alle schulden die voortspruiten uit rechtshandelingen die de bewindvoerder in zijn hoedanigheid in naam van de rechthebbende verricht</w:t>
      </w:r>
      <w:r w:rsidRPr="00CB2638">
        <w:rPr>
          <w:rFonts w:ascii="Arial" w:eastAsia="Times New Roman" w:hAnsi="Arial" w:cs="Arial"/>
          <w:color w:val="191970"/>
          <w:sz w:val="18"/>
          <w:szCs w:val="18"/>
          <w:lang w:eastAsia="nl-NL"/>
        </w:rPr>
        <w:t>. Wanneer hij onder bewind staande goederen aanwijst die voor de schuld voldoende verhaal bieden, is hij niet verplicht de schuld ten laste van zijn overige vermogen te voldoen.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5" w:name="artikel_443"/>
      <w:r w:rsidRPr="00CB2638">
        <w:rPr>
          <w:rFonts w:ascii="Arial" w:eastAsia="Times New Roman" w:hAnsi="Arial" w:cs="Arial"/>
          <w:color w:val="1E90FF"/>
          <w:sz w:val="18"/>
          <w:szCs w:val="18"/>
          <w:lang w:eastAsia="nl-NL"/>
        </w:rPr>
        <w:t>Artikel 443</w:t>
      </w:r>
      <w:bookmarkEnd w:id="5"/>
      <w:r w:rsidRPr="00CB2638">
        <w:rPr>
          <w:rFonts w:ascii="Arial" w:eastAsia="Times New Roman" w:hAnsi="Arial" w:cs="Arial"/>
          <w:color w:val="FC8207"/>
          <w:sz w:val="18"/>
          <w:szCs w:val="18"/>
          <w:lang w:eastAsia="nl-NL"/>
        </w:rPr>
        <w:t>Machtiging voor bewindvoerder om te procederen</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De bewindvoerder kan alvorens in rechte op te treden zich te zijner verantwoording doen machtigen door de rechthebbende of, indien deze daartoe niet in staat of weigerachtig is, door de kantonrechter.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6" w:name="artikel_444"/>
      <w:r w:rsidRPr="00CB2638">
        <w:rPr>
          <w:rFonts w:ascii="Arial" w:eastAsia="Times New Roman" w:hAnsi="Arial" w:cs="Arial"/>
          <w:color w:val="1E90FF"/>
          <w:sz w:val="18"/>
          <w:szCs w:val="18"/>
          <w:lang w:eastAsia="nl-NL"/>
        </w:rPr>
        <w:t>Artikel 444</w:t>
      </w:r>
      <w:bookmarkEnd w:id="6"/>
      <w:r w:rsidRPr="00CB2638">
        <w:rPr>
          <w:rFonts w:ascii="Arial" w:eastAsia="Times New Roman" w:hAnsi="Arial" w:cs="Arial"/>
          <w:color w:val="FC8207"/>
          <w:sz w:val="18"/>
          <w:szCs w:val="18"/>
          <w:lang w:eastAsia="nl-NL"/>
        </w:rPr>
        <w:t>Aansprakelijkheid bewindvoerder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2564DF">
        <w:rPr>
          <w:rFonts w:ascii="Arial" w:eastAsia="Times New Roman" w:hAnsi="Arial" w:cs="Arial"/>
          <w:color w:val="191970"/>
          <w:sz w:val="18"/>
          <w:szCs w:val="18"/>
          <w:u w:val="single"/>
          <w:lang w:eastAsia="nl-NL"/>
        </w:rPr>
        <w:t>Een bewindvoerder is jegens de rechthebbende aansprakelijk, indien hij in de zorg van een goed bewindvoerder te kort schiet, tenzij de tekortkoming hem niet kan worden toegerekend</w:t>
      </w:r>
      <w:r w:rsidRPr="00CB2638">
        <w:rPr>
          <w:rFonts w:ascii="Arial" w:eastAsia="Times New Roman" w:hAnsi="Arial" w:cs="Arial"/>
          <w:color w:val="191970"/>
          <w:sz w:val="18"/>
          <w:szCs w:val="18"/>
          <w:lang w:eastAsia="nl-NL"/>
        </w:rPr>
        <w: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7" w:name="artikel_445"/>
      <w:r w:rsidRPr="00CB2638">
        <w:rPr>
          <w:rFonts w:ascii="Arial" w:eastAsia="Times New Roman" w:hAnsi="Arial" w:cs="Arial"/>
          <w:color w:val="1E90FF"/>
          <w:sz w:val="18"/>
          <w:szCs w:val="18"/>
          <w:lang w:eastAsia="nl-NL"/>
        </w:rPr>
        <w:t>Artikel 445</w:t>
      </w:r>
      <w:bookmarkEnd w:id="7"/>
      <w:r w:rsidRPr="00CB2638">
        <w:rPr>
          <w:rFonts w:ascii="Arial" w:eastAsia="Times New Roman" w:hAnsi="Arial" w:cs="Arial"/>
          <w:color w:val="FC8207"/>
          <w:sz w:val="18"/>
          <w:szCs w:val="18"/>
          <w:lang w:eastAsia="nl-NL"/>
        </w:rPr>
        <w:t>Rekening en verantwoording van bewindvoerder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 xml:space="preserve">1.De bewindvoerder legt, tenzij andere tijdstippen zijn bepaald, </w:t>
      </w:r>
      <w:r w:rsidRPr="00C15C7E">
        <w:rPr>
          <w:rFonts w:ascii="Arial" w:eastAsia="Times New Roman" w:hAnsi="Arial" w:cs="Arial"/>
          <w:color w:val="191970"/>
          <w:sz w:val="18"/>
          <w:szCs w:val="18"/>
          <w:highlight w:val="yellow"/>
          <w:lang w:eastAsia="nl-NL"/>
        </w:rPr>
        <w:t>jaarlijks en aan het einde van het bewind rekening en verantwoording af aan de rechthebbende, alsmede aan het einde van zijn taak aan zijn opvolger</w:t>
      </w:r>
      <w:bookmarkStart w:id="8" w:name="_GoBack"/>
      <w:bookmarkEnd w:id="8"/>
      <w:r w:rsidRPr="00CB2638">
        <w:rPr>
          <w:rFonts w:ascii="Arial" w:eastAsia="Times New Roman" w:hAnsi="Arial" w:cs="Arial"/>
          <w:color w:val="191970"/>
          <w:sz w:val="18"/>
          <w:szCs w:val="18"/>
          <w:lang w:eastAsia="nl-NL"/>
        </w:rPr>
        <w:t>. De rekening en verantwoording wordt afgelegd ten overstaan van de kantonrechter.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2.Indien de rechthebbende niet in staat is de rekening op te nemen, of het onzeker is wie de rechthebbende is, wordt de rekening en verantwoording afgelegd aan de kantonrechter. Goedkeuring van deze rekening en verantwoording door de kantonrechter belet niet dat de rechthebbende na het einde van het bewind nogmaals over dezelfde tijdsruimte rekening en verantwoording vraagt, voor zover dit niet onredelijk is.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3.De kantonrechter kan de bewindvoerder - hetzij op diens verzoek, hetzij ambtshalve - vrijstellen van de verplichting om de periodieke rekening en verantwoording te zijnen overstaan af te leggen; hij kan ook bepalen dat deze wijze van aflegging der rekening en verantwoording slechts om een door hem te bepalen aantal jaren zal geschieden.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4.Voor het overige vindt het aangaande de voogdijrekening in de paragrafen 10 en 11 van afdeling 6 van titel 14 bepaalde overeenkomstige toepassing.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9" w:name="artikel_446"/>
      <w:r w:rsidRPr="00CB2638">
        <w:rPr>
          <w:rFonts w:ascii="Arial" w:eastAsia="Times New Roman" w:hAnsi="Arial" w:cs="Arial"/>
          <w:color w:val="1E90FF"/>
          <w:sz w:val="18"/>
          <w:szCs w:val="18"/>
          <w:lang w:eastAsia="nl-NL"/>
        </w:rPr>
        <w:t>Artikel 446</w:t>
      </w:r>
      <w:bookmarkEnd w:id="9"/>
      <w:r w:rsidRPr="00CB2638">
        <w:rPr>
          <w:rFonts w:ascii="Arial" w:eastAsia="Times New Roman" w:hAnsi="Arial" w:cs="Arial"/>
          <w:color w:val="FC8207"/>
          <w:sz w:val="18"/>
          <w:szCs w:val="18"/>
          <w:lang w:eastAsia="nl-NL"/>
        </w:rPr>
        <w:t>Uitkeren wat goederen aan vruchten hebben opgebracht</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 xml:space="preserve">1.Voor zover de kantonrechter niet anders bepaalt, wordt bij het afleggen van de periodieke rekening en verantwoording hetgeen de goederen netto aan vruchten hebben opgebracht, onder aftrek van de verschuldigde beloning, aan de rechthebbende uitgekeerd. Op verzoek van de rechthebbende kan de </w:t>
      </w:r>
      <w:r w:rsidRPr="00CB2638">
        <w:rPr>
          <w:rFonts w:ascii="Arial" w:eastAsia="Times New Roman" w:hAnsi="Arial" w:cs="Arial"/>
          <w:color w:val="191970"/>
          <w:sz w:val="18"/>
          <w:szCs w:val="18"/>
          <w:lang w:eastAsia="nl-NL"/>
        </w:rPr>
        <w:lastRenderedPageBreak/>
        <w:t>kantonrechter andere tijdstippen voor de uitkering vaststellen.</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2.Bij zijn eindrekening en verantwoording draagt de bewindvoerder alle goederen af aan hem die na hem tot het beheer der goederen bevoegd is. De bewindvoerder is bevoegd de afdracht op te schorten tot de voldoening van een hem toekomend saldo.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3.Wordt de rekening en verantwoording aan de kantonrechter afgelegd, dan blijven, tenzij de kantonrechter anders bepaalt, de netto-opbrengst of de af te dragen goederen onder het bewind van de bewindvoerder, totdat de rechthebbende tot de ontvangst in staat is of de onzekerheid, wie rechthebbende is, is opgeheven.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0" w:name="artikel_447"/>
      <w:r w:rsidRPr="00CB2638">
        <w:rPr>
          <w:rFonts w:ascii="Arial" w:eastAsia="Times New Roman" w:hAnsi="Arial" w:cs="Arial"/>
          <w:color w:val="1E90FF"/>
          <w:sz w:val="18"/>
          <w:szCs w:val="18"/>
          <w:lang w:eastAsia="nl-NL"/>
        </w:rPr>
        <w:t>Artikel 447</w:t>
      </w:r>
      <w:bookmarkEnd w:id="10"/>
      <w:r w:rsidRPr="00CB2638">
        <w:rPr>
          <w:rFonts w:ascii="Arial" w:eastAsia="Times New Roman" w:hAnsi="Arial" w:cs="Arial"/>
          <w:color w:val="FC8207"/>
          <w:sz w:val="18"/>
          <w:szCs w:val="18"/>
          <w:lang w:eastAsia="nl-NL"/>
        </w:rPr>
        <w:t>Beloning bewindvoerder(s)</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1.Tenzij de beloning bij de instelling van het bewind anders is geregeld, komt de bewindvoerder of, wanneer er meer bewindvoerders zijn, hun tezamen vijf ten honderd der netto-opbrengst van de onder bewind staande goederen toe. Op grond van bijzondere omstandigheden kan de kantonrechter, hetzij ambtshalve, hetzij op verzoek van de bewindvoerder of van de rechthebbende, voor bepaalde of onbepaalde tijd de beloning anders regelen dan bij de instelling of door de wet is aangegeven.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2.Zijn er twee of meer bewindvoerders, dan wordt het loon dat hun gezamenlijk toekomt, tussen hen verdeeld in evenredigheid met de betekenis van de door ieder van hen verrichte werkzaamheden.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1" w:name="artikel_448"/>
      <w:r w:rsidRPr="00CB2638">
        <w:rPr>
          <w:rFonts w:ascii="Arial" w:eastAsia="Times New Roman" w:hAnsi="Arial" w:cs="Arial"/>
          <w:color w:val="1E90FF"/>
          <w:sz w:val="18"/>
          <w:szCs w:val="18"/>
          <w:lang w:eastAsia="nl-NL"/>
        </w:rPr>
        <w:t>Artikel 448</w:t>
      </w:r>
      <w:bookmarkEnd w:id="11"/>
      <w:r w:rsidRPr="00CB2638">
        <w:rPr>
          <w:rFonts w:ascii="Arial" w:eastAsia="Times New Roman" w:hAnsi="Arial" w:cs="Arial"/>
          <w:color w:val="FC8207"/>
          <w:sz w:val="18"/>
          <w:szCs w:val="18"/>
          <w:lang w:eastAsia="nl-NL"/>
        </w:rPr>
        <w:t>Beëindiging taak bewindvoerder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1.De taak van de bewindvoerder eindigt: </w:t>
      </w:r>
      <w:r w:rsidRPr="00CB2638">
        <w:rPr>
          <w:rFonts w:ascii="Arial" w:eastAsia="Times New Roman" w:hAnsi="Arial" w:cs="Arial"/>
          <w:color w:val="191970"/>
          <w:sz w:val="18"/>
          <w:szCs w:val="18"/>
          <w:lang w:eastAsia="nl-NL"/>
        </w:rPr>
        <w:br/>
        <w:t xml:space="preserve">a. bij het </w:t>
      </w:r>
      <w:r w:rsidRPr="002564DF">
        <w:rPr>
          <w:rFonts w:ascii="Arial" w:eastAsia="Times New Roman" w:hAnsi="Arial" w:cs="Arial"/>
          <w:color w:val="191970"/>
          <w:sz w:val="18"/>
          <w:szCs w:val="18"/>
          <w:u w:val="single"/>
          <w:lang w:eastAsia="nl-NL"/>
        </w:rPr>
        <w:t>einde van het bewind</w:t>
      </w:r>
      <w:r w:rsidRPr="00CB2638">
        <w:rPr>
          <w:rFonts w:ascii="Arial" w:eastAsia="Times New Roman" w:hAnsi="Arial" w:cs="Arial"/>
          <w:color w:val="191970"/>
          <w:sz w:val="18"/>
          <w:szCs w:val="18"/>
          <w:lang w:eastAsia="nl-NL"/>
        </w:rPr>
        <w:t>; </w:t>
      </w:r>
      <w:r w:rsidRPr="00CB2638">
        <w:rPr>
          <w:rFonts w:ascii="Arial" w:eastAsia="Times New Roman" w:hAnsi="Arial" w:cs="Arial"/>
          <w:color w:val="191970"/>
          <w:sz w:val="18"/>
          <w:szCs w:val="18"/>
          <w:lang w:eastAsia="nl-NL"/>
        </w:rPr>
        <w:br/>
        <w:t xml:space="preserve">b. door tijdsverloop, indien hij voor een </w:t>
      </w:r>
      <w:r w:rsidRPr="002564DF">
        <w:rPr>
          <w:rFonts w:ascii="Arial" w:eastAsia="Times New Roman" w:hAnsi="Arial" w:cs="Arial"/>
          <w:color w:val="191970"/>
          <w:sz w:val="18"/>
          <w:szCs w:val="18"/>
          <w:u w:val="single"/>
          <w:lang w:eastAsia="nl-NL"/>
        </w:rPr>
        <w:t>bepaalde tijd</w:t>
      </w:r>
      <w:r w:rsidRPr="00CB2638">
        <w:rPr>
          <w:rFonts w:ascii="Arial" w:eastAsia="Times New Roman" w:hAnsi="Arial" w:cs="Arial"/>
          <w:color w:val="191970"/>
          <w:sz w:val="18"/>
          <w:szCs w:val="18"/>
          <w:lang w:eastAsia="nl-NL"/>
        </w:rPr>
        <w:t xml:space="preserve"> was benoemd; </w:t>
      </w:r>
      <w:r w:rsidRPr="00CB2638">
        <w:rPr>
          <w:rFonts w:ascii="Arial" w:eastAsia="Times New Roman" w:hAnsi="Arial" w:cs="Arial"/>
          <w:color w:val="191970"/>
          <w:sz w:val="18"/>
          <w:szCs w:val="18"/>
          <w:lang w:eastAsia="nl-NL"/>
        </w:rPr>
        <w:br/>
        <w:t xml:space="preserve">c. door </w:t>
      </w:r>
      <w:r w:rsidRPr="002564DF">
        <w:rPr>
          <w:rFonts w:ascii="Arial" w:eastAsia="Times New Roman" w:hAnsi="Arial" w:cs="Arial"/>
          <w:color w:val="191970"/>
          <w:sz w:val="18"/>
          <w:szCs w:val="18"/>
          <w:u w:val="single"/>
          <w:lang w:eastAsia="nl-NL"/>
        </w:rPr>
        <w:t>zijn dood</w:t>
      </w:r>
      <w:r w:rsidRPr="00CB2638">
        <w:rPr>
          <w:rFonts w:ascii="Arial" w:eastAsia="Times New Roman" w:hAnsi="Arial" w:cs="Arial"/>
          <w:color w:val="191970"/>
          <w:sz w:val="18"/>
          <w:szCs w:val="18"/>
          <w:lang w:eastAsia="nl-NL"/>
        </w:rPr>
        <w:t>, het ten aanzien van hem van toepassing verklaren van de schuldsaneringsregeling natuurlijke personen, zijn faillietverklaring of zijn ondercuratelestelling; </w:t>
      </w:r>
      <w:r w:rsidRPr="00CB2638">
        <w:rPr>
          <w:rFonts w:ascii="Arial" w:eastAsia="Times New Roman" w:hAnsi="Arial" w:cs="Arial"/>
          <w:color w:val="191970"/>
          <w:sz w:val="18"/>
          <w:szCs w:val="18"/>
          <w:lang w:eastAsia="nl-NL"/>
        </w:rPr>
        <w:br/>
        <w:t>d. door de instelling van een bewind als bedoeld in deze titel over één of meer van zijn goederen; </w:t>
      </w:r>
      <w:r w:rsidRPr="00CB2638">
        <w:rPr>
          <w:rFonts w:ascii="Arial" w:eastAsia="Times New Roman" w:hAnsi="Arial" w:cs="Arial"/>
          <w:color w:val="191970"/>
          <w:sz w:val="18"/>
          <w:szCs w:val="18"/>
          <w:lang w:eastAsia="nl-NL"/>
        </w:rPr>
        <w:br/>
        <w:t xml:space="preserve">e. door </w:t>
      </w:r>
      <w:r w:rsidRPr="000469AE">
        <w:rPr>
          <w:rFonts w:ascii="Arial" w:eastAsia="Times New Roman" w:hAnsi="Arial" w:cs="Arial"/>
          <w:color w:val="191970"/>
          <w:sz w:val="18"/>
          <w:szCs w:val="18"/>
          <w:u w:val="single"/>
          <w:lang w:eastAsia="nl-NL"/>
        </w:rPr>
        <w:t>ontslag dat hem door de kantonrechter</w:t>
      </w:r>
      <w:r w:rsidRPr="00CB2638">
        <w:rPr>
          <w:rFonts w:ascii="Arial" w:eastAsia="Times New Roman" w:hAnsi="Arial" w:cs="Arial"/>
          <w:color w:val="191970"/>
          <w:sz w:val="18"/>
          <w:szCs w:val="18"/>
          <w:lang w:eastAsia="nl-NL"/>
        </w:rPr>
        <w:t xml:space="preserve"> met ingang van een door deze bepaalde dag wordt verleend.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w:t>
      </w:r>
      <w:r w:rsidRPr="000469AE">
        <w:rPr>
          <w:rFonts w:ascii="Arial" w:eastAsia="Times New Roman" w:hAnsi="Arial" w:cs="Arial"/>
          <w:color w:val="191970"/>
          <w:sz w:val="18"/>
          <w:szCs w:val="18"/>
          <w:u w:val="single"/>
          <w:lang w:eastAsia="nl-NL"/>
        </w:rPr>
        <w:t>Het ontslag wordt hem verleend hetzij op eigen verzoek</w:t>
      </w:r>
      <w:r w:rsidRPr="00CB2638">
        <w:rPr>
          <w:rFonts w:ascii="Arial" w:eastAsia="Times New Roman" w:hAnsi="Arial" w:cs="Arial"/>
          <w:color w:val="191970"/>
          <w:sz w:val="18"/>
          <w:szCs w:val="18"/>
          <w:lang w:eastAsia="nl-NL"/>
        </w:rPr>
        <w:t xml:space="preserve">, hetzij </w:t>
      </w:r>
      <w:r w:rsidRPr="000469AE">
        <w:rPr>
          <w:rFonts w:ascii="Arial" w:eastAsia="Times New Roman" w:hAnsi="Arial" w:cs="Arial"/>
          <w:color w:val="191970"/>
          <w:sz w:val="18"/>
          <w:szCs w:val="18"/>
          <w:u w:val="single"/>
          <w:lang w:eastAsia="nl-NL"/>
        </w:rPr>
        <w:t>wegens gewichtige redenen</w:t>
      </w:r>
      <w:r w:rsidRPr="00CB2638">
        <w:rPr>
          <w:rFonts w:ascii="Arial" w:eastAsia="Times New Roman" w:hAnsi="Arial" w:cs="Arial"/>
          <w:color w:val="191970"/>
          <w:sz w:val="18"/>
          <w:szCs w:val="18"/>
          <w:lang w:eastAsia="nl-NL"/>
        </w:rPr>
        <w:t xml:space="preserve"> of </w:t>
      </w:r>
      <w:r w:rsidRPr="000469AE">
        <w:rPr>
          <w:rFonts w:ascii="Arial" w:eastAsia="Times New Roman" w:hAnsi="Arial" w:cs="Arial"/>
          <w:color w:val="191970"/>
          <w:sz w:val="18"/>
          <w:szCs w:val="18"/>
          <w:u w:val="single"/>
          <w:lang w:eastAsia="nl-NL"/>
        </w:rPr>
        <w:t>omdat hij niet meer voldoet aan de eisen om bewindvoerder te kunnen worden</w:t>
      </w:r>
      <w:r w:rsidRPr="00CB2638">
        <w:rPr>
          <w:rFonts w:ascii="Arial" w:eastAsia="Times New Roman" w:hAnsi="Arial" w:cs="Arial"/>
          <w:color w:val="191970"/>
          <w:sz w:val="18"/>
          <w:szCs w:val="18"/>
          <w:lang w:eastAsia="nl-NL"/>
        </w:rPr>
        <w:t>, zulks op verzoek van een medebewindvoerder, de rechthebbende of het openbaar ministerie, dan wel ambtshalve. Hangende het onderzoek kan de kantonrechter voorlopige voorzieningen in het bewind treffen en de bewindvoerder schorsen.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3.Een gewezen bewindvoerder blijft verplicht al datgene te doen, wat niet zonder nadeel voor de rechthebbende kan worden uitgesteld, totdat degene die na hem tot het beheer van de goederen bevoegd is, dit heeft aanvaard. In de gevallen genoemd in het eerste lid onder c, rust deze verplichting op zijn erfgenamen, onderscheidenlijk de bewindvoerder in de schuldsaneringsregeling natuurlijke personen of de curator, indien zij van het bewind kennisdragen; in het geval genoemd in het eerste lid onder d, geldt dit voor de bewindvoerder, belast met het daar bedoelde bewind.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4.Artikel 384 van dit boek is van overeenkomstige toepassing.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2" w:name="artikel_449"/>
      <w:r w:rsidRPr="00CB2638">
        <w:rPr>
          <w:rFonts w:ascii="Arial" w:eastAsia="Times New Roman" w:hAnsi="Arial" w:cs="Arial"/>
          <w:color w:val="1E90FF"/>
          <w:sz w:val="18"/>
          <w:szCs w:val="18"/>
          <w:lang w:eastAsia="nl-NL"/>
        </w:rPr>
        <w:t>Artikel 449</w:t>
      </w:r>
      <w:bookmarkEnd w:id="12"/>
      <w:r w:rsidRPr="00CB2638">
        <w:rPr>
          <w:rFonts w:ascii="Arial" w:eastAsia="Times New Roman" w:hAnsi="Arial" w:cs="Arial"/>
          <w:color w:val="FC8207"/>
          <w:sz w:val="18"/>
          <w:szCs w:val="18"/>
          <w:lang w:eastAsia="nl-NL"/>
        </w:rPr>
        <w:t>Beëindigen bewind</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1.Het bewind eindigt door het verstrijken van de tijdsduur waarvoor het is ingesteld en door de dood of ondercuratelestelling van de rechthebbende.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2.De kantonrechter kan, indien de oorzaken die tot de onderbewindstelling aanleiding hebben gegeven, niet meer bestaan, het bewind opheffen op verzoek van de rechthebbende of het openbaar ministerie; de beschikking treedt in werking zodra zij in kracht van gewijsde is gegaan, tenzij zij een eerder tijdstip van ingang aanwijst.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3" w:name="titel_20"/>
      <w:r w:rsidRPr="00CB2638">
        <w:rPr>
          <w:rFonts w:ascii="Arial" w:eastAsia="Times New Roman" w:hAnsi="Arial" w:cs="Arial"/>
          <w:b/>
          <w:bCs/>
          <w:color w:val="191970"/>
          <w:sz w:val="18"/>
          <w:szCs w:val="18"/>
          <w:lang w:eastAsia="nl-NL"/>
        </w:rPr>
        <w:t>Titel 20. Mentorschap ten behoeve van meerderjarigen</w:t>
      </w:r>
      <w:bookmarkEnd w:id="13"/>
      <w:r w:rsidRPr="00CB2638">
        <w:rPr>
          <w:rFonts w:ascii="Arial" w:eastAsia="Times New Roman" w:hAnsi="Arial" w:cs="Arial"/>
          <w:color w:val="191970"/>
          <w:sz w:val="18"/>
          <w:szCs w:val="18"/>
          <w:lang w:eastAsia="nl-NL"/>
        </w:rPr>
        <w: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4" w:name="artikel_450"/>
      <w:r w:rsidRPr="00CB2638">
        <w:rPr>
          <w:rFonts w:ascii="Arial" w:eastAsia="Times New Roman" w:hAnsi="Arial" w:cs="Arial"/>
          <w:color w:val="1E90FF"/>
          <w:sz w:val="18"/>
          <w:szCs w:val="18"/>
          <w:lang w:eastAsia="nl-NL"/>
        </w:rPr>
        <w:t>Artikel 450</w:t>
      </w:r>
      <w:bookmarkEnd w:id="14"/>
      <w:r w:rsidRPr="00CB2638">
        <w:rPr>
          <w:rFonts w:ascii="Arial" w:eastAsia="Times New Roman" w:hAnsi="Arial" w:cs="Arial"/>
          <w:color w:val="FC8207"/>
          <w:sz w:val="18"/>
          <w:szCs w:val="18"/>
          <w:lang w:eastAsia="nl-NL"/>
        </w:rPr>
        <w:t>Mentorschap</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lastRenderedPageBreak/>
        <w:br/>
        <w:t>1.Indien een meerderjarige als gevolg van zijn geestelijke of lichamelijke toestand tijdelijk of duurzaam niet in staat is of bemoeilijkt wordt zijn belangen van niet-vermogensrechtelijke aard zelf behoorlijk waar te nemen, kan de kantonrechter te zijnen behoeve een mentorschap instellen.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2.Indien te verwachten is dat een minderjarige op het tijdstip waarop hij meerderjarig zal worden, in de in het eerste lid bedoelde toestand zal verkeren, kan het mentorschap reeds voor de meerderjarigheid worden ingesteld.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3.Het mentorschap kan eveneens worden ingesteld, indien te verwachten is dat een meerderjarige binnen afzienbare tijd in de in het eerste lid bedoelde toestand zal verkeren.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4.De rechter bij wie een verzoek tot het verlenen van een voorlopige of voorwaardelijke machtiging, een observatiemachtiging of een machtiging tot voortgezet verblijf als bedoeld in de Wet bijzondere opnemingen in psychiatrische ziekenhuizen, dan wel een machtiging als bedoeld in artikel 33, eerste lid, van die wet aanhangig is, is tevens bevoegd tot kennisneming van een verzoek tot instelling van een mentorschap.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5" w:name="artikel_451"/>
      <w:r w:rsidRPr="00CB2638">
        <w:rPr>
          <w:rFonts w:ascii="Arial" w:eastAsia="Times New Roman" w:hAnsi="Arial" w:cs="Arial"/>
          <w:color w:val="1E90FF"/>
          <w:sz w:val="18"/>
          <w:szCs w:val="18"/>
          <w:lang w:eastAsia="nl-NL"/>
        </w:rPr>
        <w:t>Artikel 451</w:t>
      </w:r>
      <w:bookmarkEnd w:id="15"/>
      <w:r w:rsidRPr="00CB2638">
        <w:rPr>
          <w:rFonts w:ascii="Arial" w:eastAsia="Times New Roman" w:hAnsi="Arial" w:cs="Arial"/>
          <w:color w:val="FC8207"/>
          <w:sz w:val="18"/>
          <w:szCs w:val="18"/>
          <w:lang w:eastAsia="nl-NL"/>
        </w:rPr>
        <w:t>Mentorschap kan op verzoek</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1.Het mentorschap kan worden verzocht door de betrokken persoon, zijn echtgenoot, zijn geregistreerde partner dan wel andere levensgezel, zijn bloedverwanten in de rechte lijn en die in de zijlijn tot en met de vierde graad, zijn voogd, zijn curator of zijn bewindvoerder als bedoeld in titel 19 van dit boek. In het in artikel 450, derde lid, van dit boek bedoelde geval kan het mentorschap uitsluitend worden verzocht door de betrokkene.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2.Het mentorschap kan, behoudens in het in artikel 450, derde lid, van dit boek bedoelde geval, voorts worden verzocht door het openbaar ministerie of door degene die de instelling waar de betrokkene duurzaam wordt verzorgd, exploiteert of die daarvan de leiding heeft. In het laatste geval wordt in het verzoekschrift tevens vermeld waarom de in het eerste lid genoemde personen - bloedverwanten in de zijlijn in de derde en vierde graad daaronder niet begrepen - niet tot indiening van een verzoek zijn overgegaan.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3.De rechter bij wie een verzoek tot ondercuratelestelling aanhangig is, kan bij afwijzing daarvan ambtshalve overgaan tot instelling van het mentorschap.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4.Een verzoek tot omzetting van curatele in mentorschap ten behoeve van een persoon die onder curatele is gesteld, wordt aanhangig gemaakt bij de rechter die bevoegd is over opheffing van de curatele te beslissen. Deze rechter kan, bij opheffing van de curatele, ook ambtshalve overgaan tot instelling van het mentorschap.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5.Het mentorschap treedt in werking daags nadat de beschikking is verstrekt of verzonden, tenzij de beschikking een later tijdstip van ingang vermeldt. In het geval, bedoeld in artikel 450, tweede lid, van dit boek treedt het mentorschap in werking op het tijdstip waarop de betrokken persoon meerderjarig wordt.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6" w:name="artikel_452"/>
      <w:r w:rsidRPr="00CB2638">
        <w:rPr>
          <w:rFonts w:ascii="Arial" w:eastAsia="Times New Roman" w:hAnsi="Arial" w:cs="Arial"/>
          <w:color w:val="1E90FF"/>
          <w:sz w:val="18"/>
          <w:szCs w:val="18"/>
          <w:lang w:eastAsia="nl-NL"/>
        </w:rPr>
        <w:t>Artikel 452</w:t>
      </w:r>
      <w:bookmarkEnd w:id="16"/>
      <w:r w:rsidRPr="00CB2638">
        <w:rPr>
          <w:rFonts w:ascii="Arial" w:eastAsia="Times New Roman" w:hAnsi="Arial" w:cs="Arial"/>
          <w:color w:val="FC8207"/>
          <w:sz w:val="18"/>
          <w:szCs w:val="18"/>
          <w:lang w:eastAsia="nl-NL"/>
        </w:rPr>
        <w:t>Benoeming mentor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1.De rechter die het mentorschap instelt, benoemt daarbij of zo spoedig mogelijk daarna een mentor. Hij vergewist zich van de bereidheid en vormt zich een oordeel over de geschiktheid van de te benoemen persoon.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2.Zo nodig kan een tijdelijke mentor worden benoemd.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3.De rechter volgt bij de benoeming van de mentor de uitdrukkelijke voorkeur van de betrokkene, tenzij gegronde redenen zich tegen zodanige benoeming verzetten.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4.Tenzij het vorige lid is toegepast, wordt, indien de betrokkene is gehuwd, een geregistreerd partnerschap is aangegaan of anderszins een levensgezel heeft, bij voorkeur de echtgenoot, de geregistreerde partner dan wel andere levensgezel tot mentor benoemd. Is de vorige zin niet van toepassing dan wordt bij voorkeur een van zijn ouders, kinderen, broers of zusters tot mentor benoemd. Huwt de betrokkene, gaat hij een geregistreerd partnerschap aan of verkrijgt hij een andere levensgezel, dan kan ieder van hen verzoeken, dat de echtgenoot, de geregistreerde partner dan wel de andere levensgezel van de betrokkene in de plaats van de tegenwoordige mentor wordt benoemd.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5.Indien ten behoeve van de betrokkene in een bewind als bedoeld in titel 19 van dit boek is voorzien, wordt, indien de bewindvoerder een natuurlijke persoon is, bij voorkeur de bewindvoerder tot mentor benoemd.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lastRenderedPageBreak/>
        <w:br/>
        <w:t>6.Geen mentor kunnen worden: </w:t>
      </w:r>
      <w:r w:rsidRPr="00CB2638">
        <w:rPr>
          <w:rFonts w:ascii="Arial" w:eastAsia="Times New Roman" w:hAnsi="Arial" w:cs="Arial"/>
          <w:color w:val="191970"/>
          <w:sz w:val="18"/>
          <w:szCs w:val="18"/>
          <w:lang w:eastAsia="nl-NL"/>
        </w:rPr>
        <w:br/>
        <w:t>a. handelingsonbekwamen; </w:t>
      </w:r>
      <w:r w:rsidRPr="00CB2638">
        <w:rPr>
          <w:rFonts w:ascii="Arial" w:eastAsia="Times New Roman" w:hAnsi="Arial" w:cs="Arial"/>
          <w:color w:val="191970"/>
          <w:sz w:val="18"/>
          <w:szCs w:val="18"/>
          <w:lang w:eastAsia="nl-NL"/>
        </w:rPr>
        <w:br/>
        <w:t>b. zij ten behoeve van wie een mentorschap is ingesteld; </w:t>
      </w:r>
      <w:r w:rsidRPr="00CB2638">
        <w:rPr>
          <w:rFonts w:ascii="Arial" w:eastAsia="Times New Roman" w:hAnsi="Arial" w:cs="Arial"/>
          <w:color w:val="191970"/>
          <w:sz w:val="18"/>
          <w:szCs w:val="18"/>
          <w:lang w:eastAsia="nl-NL"/>
        </w:rPr>
        <w:br/>
        <w:t>c. rechtspersonen; </w:t>
      </w:r>
      <w:r w:rsidRPr="00CB2638">
        <w:rPr>
          <w:rFonts w:ascii="Arial" w:eastAsia="Times New Roman" w:hAnsi="Arial" w:cs="Arial"/>
          <w:color w:val="191970"/>
          <w:sz w:val="18"/>
          <w:szCs w:val="18"/>
          <w:lang w:eastAsia="nl-NL"/>
        </w:rPr>
        <w:br/>
        <w:t>d. de direct betrokken of behandelend hulpverlener; </w:t>
      </w:r>
      <w:r w:rsidRPr="00CB2638">
        <w:rPr>
          <w:rFonts w:ascii="Arial" w:eastAsia="Times New Roman" w:hAnsi="Arial" w:cs="Arial"/>
          <w:color w:val="191970"/>
          <w:sz w:val="18"/>
          <w:szCs w:val="18"/>
          <w:lang w:eastAsia="nl-NL"/>
        </w:rPr>
        <w:br/>
        <w:t>e. personen behorende tot de leiding of tot het personeel van de instelling waar de betrokkene verblijft.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7.De taak van de mentor vangt aan daags nadat de beschikking, houdende de benoeming, is verstrekt of verzonden, tenzij de beschikking een later tijdstip vermeldt.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7" w:name="artikel_453"/>
      <w:r w:rsidRPr="00CB2638">
        <w:rPr>
          <w:rFonts w:ascii="Arial" w:eastAsia="Times New Roman" w:hAnsi="Arial" w:cs="Arial"/>
          <w:color w:val="1E90FF"/>
          <w:sz w:val="18"/>
          <w:szCs w:val="18"/>
          <w:lang w:eastAsia="nl-NL"/>
        </w:rPr>
        <w:t>Artikel 453</w:t>
      </w:r>
      <w:bookmarkEnd w:id="17"/>
      <w:r w:rsidRPr="00CB2638">
        <w:rPr>
          <w:rFonts w:ascii="Arial" w:eastAsia="Times New Roman" w:hAnsi="Arial" w:cs="Arial"/>
          <w:color w:val="FC8207"/>
          <w:sz w:val="18"/>
          <w:szCs w:val="18"/>
          <w:lang w:eastAsia="nl-NL"/>
        </w:rPr>
        <w:t>Gevolgen mentorschap</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1.Tenzij uit wet of verdrag anders voortvloeit, is de betrokkene tijdens het mentorschap onbevoegd rechtshandelingen te verrichten in aangelegenheden betreffende zijn verzorging, verpleging, behandeling en begeleiding.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2.Met betrekking tot de in het eerste lid bedoelde rechtshandelingen vertegenwoordigt de mentor de betrokkene in en buiten rechte, tenzij op grond van wet of verdrag vertegenwoordiging uitgesloten is. De mentor kan de betrokkene toestemming verlenen deze rechtshandelingen zelf te verrichten.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3.Ten aanzien van andere handelingen dan rechtshandelingen betreffende de in het eerste lid genoemde aangelegenheden treedt de mentor, voor zover de aard van de desbetreffende handeling dit toelaat, in plaats van de betrokkene op.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4.De mentor geeft aan de betrokkene raad in hem betreffende aangelegenheden van niet-vermogensrechtelijke aard en waakt over diens belangen ter zake.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5.Verzet de betrokkene zich tegen een handeling van ingrijpende aard in aangelegenheden als in het tweede en derde lid bedoeld, dan kan die handeling slechts plaatsvinden indien zij kennelijk nodig is teneinde ernstig nadeel voor de betrokkene te voorkomen.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8" w:name="artikel_453a"/>
      <w:r w:rsidRPr="00CB2638">
        <w:rPr>
          <w:rFonts w:ascii="Arial" w:eastAsia="Times New Roman" w:hAnsi="Arial" w:cs="Arial"/>
          <w:color w:val="1E90FF"/>
          <w:sz w:val="18"/>
          <w:szCs w:val="18"/>
          <w:lang w:eastAsia="nl-NL"/>
        </w:rPr>
        <w:t>Artikel 453a</w:t>
      </w:r>
      <w:bookmarkEnd w:id="18"/>
      <w:r w:rsidRPr="00CB2638">
        <w:rPr>
          <w:rFonts w:ascii="Arial" w:eastAsia="Times New Roman" w:hAnsi="Arial" w:cs="Arial"/>
          <w:color w:val="FC8207"/>
          <w:sz w:val="18"/>
          <w:szCs w:val="18"/>
          <w:lang w:eastAsia="nl-NL"/>
        </w:rPr>
        <w:t>Uitbreiding toepasselijke bepaling mogelijk</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1.Indien de rechter dit noodzakelijk acht, beslist hij tevens dat artikel 246, van dit boek van overeenkomstige toepassing is.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2.Tijdens het mentorschap kan de rechter een beslissing nemen als in het eerste lid bedoeld, hetzij op verzoek van een persoon als bedoeld in artikel 451, eerste en tweede lid, van de mentor of van het openbaar ministerie, hetzij ambtshalve.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19" w:name="artikel_454"/>
      <w:r w:rsidRPr="00CB2638">
        <w:rPr>
          <w:rFonts w:ascii="Arial" w:eastAsia="Times New Roman" w:hAnsi="Arial" w:cs="Arial"/>
          <w:color w:val="1E90FF"/>
          <w:sz w:val="18"/>
          <w:szCs w:val="18"/>
          <w:lang w:eastAsia="nl-NL"/>
        </w:rPr>
        <w:t>Artikel 454</w:t>
      </w:r>
      <w:bookmarkEnd w:id="19"/>
      <w:r w:rsidRPr="00CB2638">
        <w:rPr>
          <w:rFonts w:ascii="Arial" w:eastAsia="Times New Roman" w:hAnsi="Arial" w:cs="Arial"/>
          <w:color w:val="FC8207"/>
          <w:sz w:val="18"/>
          <w:szCs w:val="18"/>
          <w:lang w:eastAsia="nl-NL"/>
        </w:rPr>
        <w:t>Taken mentor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1.De mentor is gehouden degene ten behoeve van wie het mentorschap is ingesteld zo veel mogelijk bij de vervulling van zijn taak te betrekken. De mentor bevordert dat de betrokkene rechtshandelingen en andere handelingen zelf verricht, indien deze tot een redelijke waardering van zijn belangen ter zake in staat kan worden geacht. Hij betracht de zorg van een goed mentor.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2.De mentor is jegens de betrokkene aansprakelijk, indien hij in de zorg van een goed mentor te kort schiet, tenzij de tekortkoming hem niet kan worden toegerekend.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0" w:name="artikel_455"/>
      <w:r w:rsidRPr="00CB2638">
        <w:rPr>
          <w:rFonts w:ascii="Arial" w:eastAsia="Times New Roman" w:hAnsi="Arial" w:cs="Arial"/>
          <w:color w:val="1E90FF"/>
          <w:sz w:val="18"/>
          <w:szCs w:val="18"/>
          <w:lang w:eastAsia="nl-NL"/>
        </w:rPr>
        <w:t>Artikel 455</w:t>
      </w:r>
      <w:bookmarkEnd w:id="20"/>
      <w:r w:rsidRPr="00CB2638">
        <w:rPr>
          <w:rFonts w:ascii="Arial" w:eastAsia="Times New Roman" w:hAnsi="Arial" w:cs="Arial"/>
          <w:color w:val="FC8207"/>
          <w:sz w:val="18"/>
          <w:szCs w:val="18"/>
          <w:lang w:eastAsia="nl-NL"/>
        </w:rPr>
        <w:t>Aansprakelijkheid gedurende mentorschap</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Degene ten behoeve van wie het mentorschap is ingesteld, is, onverminderd het bepaalde in artikel 172 van Boek 6, aansprakelijk voor alle schulden die voortspruiten uit rechtshandelingen die de mentor in zijn hoedanigheid in naam van de betrokkene verricht.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1" w:name="artikel_456"/>
      <w:r w:rsidRPr="00CB2638">
        <w:rPr>
          <w:rFonts w:ascii="Arial" w:eastAsia="Times New Roman" w:hAnsi="Arial" w:cs="Arial"/>
          <w:color w:val="1E90FF"/>
          <w:sz w:val="18"/>
          <w:szCs w:val="18"/>
          <w:lang w:eastAsia="nl-NL"/>
        </w:rPr>
        <w:lastRenderedPageBreak/>
        <w:t>Artikel 456</w:t>
      </w:r>
      <w:bookmarkEnd w:id="21"/>
      <w:r w:rsidRPr="00CB2638">
        <w:rPr>
          <w:rFonts w:ascii="Arial" w:eastAsia="Times New Roman" w:hAnsi="Arial" w:cs="Arial"/>
          <w:color w:val="FC8207"/>
          <w:sz w:val="18"/>
          <w:szCs w:val="18"/>
          <w:lang w:eastAsia="nl-NL"/>
        </w:rPr>
        <w:t>Machtiging voor optreden in rechte</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De mentor kan alvorens in rechte op te treden zich te zijner verantwoording doen machtigen door de betrokkene of, indien deze daartoe niet in staat of weigerachtig is, door de kantonrechter.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2" w:name="artikel_457"/>
      <w:r w:rsidRPr="00CB2638">
        <w:rPr>
          <w:rFonts w:ascii="Arial" w:eastAsia="Times New Roman" w:hAnsi="Arial" w:cs="Arial"/>
          <w:color w:val="1E90FF"/>
          <w:sz w:val="18"/>
          <w:szCs w:val="18"/>
          <w:lang w:eastAsia="nl-NL"/>
        </w:rPr>
        <w:t>Artikel 457</w:t>
      </w:r>
      <w:bookmarkEnd w:id="22"/>
      <w:r w:rsidRPr="00CB2638">
        <w:rPr>
          <w:rFonts w:ascii="Arial" w:eastAsia="Times New Roman" w:hAnsi="Arial" w:cs="Arial"/>
          <w:color w:val="FC8207"/>
          <w:sz w:val="18"/>
          <w:szCs w:val="18"/>
          <w:lang w:eastAsia="nl-NL"/>
        </w:rPr>
        <w:t>Vernietigbaarheid rechtshandelingen</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1.Een rechtshandeling verricht in strijd met artikel 453 van dit boek is overeenkomstig het tweede en derde lid vernietigbaar.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2.Indien de rechtshandeling is verricht door of gericht tot de betrokkene, kan een beroep op de vernietigbaarheid slechts worden gedaan jegens een persoon die het mentorschap kende of had behoren te kennen; jegens een zodanige persoon wordt de betrokkene vermoed onbevoegd te zijn geweest.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3.Indien de rechtshandeling is verricht door of gericht tot de mentor, kan een beroep op de vernietigbaarheid slechts worden gedaan jegens een persoon die de onbevoegdheid van de mentor kende of had behoren te kennen.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3" w:name="artikel_458"/>
      <w:r w:rsidRPr="00CB2638">
        <w:rPr>
          <w:rFonts w:ascii="Arial" w:eastAsia="Times New Roman" w:hAnsi="Arial" w:cs="Arial"/>
          <w:color w:val="1E90FF"/>
          <w:sz w:val="18"/>
          <w:szCs w:val="18"/>
          <w:lang w:eastAsia="nl-NL"/>
        </w:rPr>
        <w:t>Artikel 458</w:t>
      </w:r>
      <w:bookmarkEnd w:id="23"/>
      <w:r w:rsidRPr="00CB2638">
        <w:rPr>
          <w:rFonts w:ascii="Arial" w:eastAsia="Times New Roman" w:hAnsi="Arial" w:cs="Arial"/>
          <w:color w:val="FC8207"/>
          <w:sz w:val="18"/>
          <w:szCs w:val="18"/>
          <w:lang w:eastAsia="nl-NL"/>
        </w:rPr>
        <w:t>Bewind en tevens mentorschap</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Voor zover een of meer van de goederen van de betrokkene onder een bewind als bedoeld in titel 19 van dit boek staan, is de bewindvoerder, indien hij niet tevens mentor is, niet tot optreden bevoegd ten aanzien van aangelegenheden als in artikel 453, eerste lid, van dit boek bedoeld.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4" w:name="artikel_459"/>
      <w:r w:rsidRPr="00CB2638">
        <w:rPr>
          <w:rFonts w:ascii="Arial" w:eastAsia="Times New Roman" w:hAnsi="Arial" w:cs="Arial"/>
          <w:color w:val="1E90FF"/>
          <w:sz w:val="18"/>
          <w:szCs w:val="18"/>
          <w:lang w:eastAsia="nl-NL"/>
        </w:rPr>
        <w:t>Artikel 459</w:t>
      </w:r>
      <w:bookmarkEnd w:id="24"/>
      <w:r w:rsidRPr="00CB2638">
        <w:rPr>
          <w:rFonts w:ascii="Arial" w:eastAsia="Times New Roman" w:hAnsi="Arial" w:cs="Arial"/>
          <w:color w:val="FC8207"/>
          <w:sz w:val="18"/>
          <w:szCs w:val="18"/>
          <w:lang w:eastAsia="nl-NL"/>
        </w:rPr>
        <w:t>De mentor doet verslag van zijn werkzaamheden</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1.De mentor doet desgevraagd van zijn werkzaamheden verslag aan de kantonrechter. De kantonrechter kan te allen tijde verschijning van de mentor in persoon gelasten. Deze is verplicht alle door de kantonrechter gewenste inlichtingen te verstrekken.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2.Aan het einde van zijn mentorschap doet de mentor van zijn werkzaamheden schriftelijk verslag aan zijn opvolger, aan de kantonrechter alsmede aan de betrokkene, indien het mentorschap door het verstrijken van de tijdsduur waarvoor het is ingesteld of door opheffing eindigt.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5" w:name="artikel_460"/>
      <w:r w:rsidRPr="00CB2638">
        <w:rPr>
          <w:rFonts w:ascii="Arial" w:eastAsia="Times New Roman" w:hAnsi="Arial" w:cs="Arial"/>
          <w:color w:val="1E90FF"/>
          <w:sz w:val="18"/>
          <w:szCs w:val="18"/>
          <w:lang w:eastAsia="nl-NL"/>
        </w:rPr>
        <w:t>Artikel 460</w:t>
      </w:r>
      <w:bookmarkEnd w:id="25"/>
      <w:r w:rsidRPr="00CB2638">
        <w:rPr>
          <w:rFonts w:ascii="Arial" w:eastAsia="Times New Roman" w:hAnsi="Arial" w:cs="Arial"/>
          <w:color w:val="FC8207"/>
          <w:sz w:val="18"/>
          <w:szCs w:val="18"/>
          <w:lang w:eastAsia="nl-NL"/>
        </w:rPr>
        <w:t>Kosten aan betrokkene in rekening brengen</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1.De mentor mag de bij de vervulling van zijn taak noodzakelijk gemaakte kosten aan de betrokkene in rekening brengen.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2.De rechter kan aan de mentor ten laste van de betrokkene een beloning toekennen indien hij zulks redelijk acht, de financiële draagkracht van betrokkene in aanmerking genomen.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6" w:name="artikel_461"/>
      <w:r w:rsidRPr="00CB2638">
        <w:rPr>
          <w:rFonts w:ascii="Arial" w:eastAsia="Times New Roman" w:hAnsi="Arial" w:cs="Arial"/>
          <w:color w:val="1E90FF"/>
          <w:sz w:val="18"/>
          <w:szCs w:val="18"/>
          <w:lang w:eastAsia="nl-NL"/>
        </w:rPr>
        <w:t>Artikel 461</w:t>
      </w:r>
      <w:bookmarkEnd w:id="26"/>
      <w:r w:rsidRPr="00CB2638">
        <w:rPr>
          <w:rFonts w:ascii="Arial" w:eastAsia="Times New Roman" w:hAnsi="Arial" w:cs="Arial"/>
          <w:color w:val="FC8207"/>
          <w:sz w:val="18"/>
          <w:szCs w:val="18"/>
          <w:lang w:eastAsia="nl-NL"/>
        </w:rPr>
        <w:t>Beëindigen taak mentor</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1.De taak van de mentor eindigt: </w:t>
      </w:r>
      <w:r w:rsidRPr="00CB2638">
        <w:rPr>
          <w:rFonts w:ascii="Arial" w:eastAsia="Times New Roman" w:hAnsi="Arial" w:cs="Arial"/>
          <w:color w:val="191970"/>
          <w:sz w:val="18"/>
          <w:szCs w:val="18"/>
          <w:lang w:eastAsia="nl-NL"/>
        </w:rPr>
        <w:br/>
        <w:t>a. bij het einde van het mentorschap; </w:t>
      </w:r>
      <w:r w:rsidRPr="00CB2638">
        <w:rPr>
          <w:rFonts w:ascii="Arial" w:eastAsia="Times New Roman" w:hAnsi="Arial" w:cs="Arial"/>
          <w:color w:val="191970"/>
          <w:sz w:val="18"/>
          <w:szCs w:val="18"/>
          <w:lang w:eastAsia="nl-NL"/>
        </w:rPr>
        <w:br/>
        <w:t>b. door tijdsverloop, indien hij voor een bepaalde tijd was benoemd; </w:t>
      </w:r>
      <w:r w:rsidRPr="00CB2638">
        <w:rPr>
          <w:rFonts w:ascii="Arial" w:eastAsia="Times New Roman" w:hAnsi="Arial" w:cs="Arial"/>
          <w:color w:val="191970"/>
          <w:sz w:val="18"/>
          <w:szCs w:val="18"/>
          <w:lang w:eastAsia="nl-NL"/>
        </w:rPr>
        <w:br/>
        <w:t>c. door zijn dood; </w:t>
      </w:r>
      <w:r w:rsidRPr="00CB2638">
        <w:rPr>
          <w:rFonts w:ascii="Arial" w:eastAsia="Times New Roman" w:hAnsi="Arial" w:cs="Arial"/>
          <w:color w:val="191970"/>
          <w:sz w:val="18"/>
          <w:szCs w:val="18"/>
          <w:lang w:eastAsia="nl-NL"/>
        </w:rPr>
        <w:br/>
        <w:t>d. door zijn ondercuratelestelling of door instelling van een mentorschap te zijnen behoeve; </w:t>
      </w:r>
      <w:r w:rsidRPr="00CB2638">
        <w:rPr>
          <w:rFonts w:ascii="Arial" w:eastAsia="Times New Roman" w:hAnsi="Arial" w:cs="Arial"/>
          <w:color w:val="191970"/>
          <w:sz w:val="18"/>
          <w:szCs w:val="18"/>
          <w:lang w:eastAsia="nl-NL"/>
        </w:rPr>
        <w:br/>
        <w:t>e. door ontslag dat hem door de kantonrechter met ingang van een door deze bepaalde dag wordt verleend.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2.Het ontslag wordt hem verleend hetzij op eigen verzoek, hetzij wegens gewichtige redenen of omdat hij niet meer voldoet aan de eisen om mentor te kunnen worden, zulks op verzoek van de betrokkene, het openbaar ministerie of ambtshalve. Hangende het onderzoek kan de kantonrechter voorlopige voorzieningen in het mentorschap treffen en de mentor schorsen.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 xml:space="preserve">3.Een gewezen mentor blijft verplicht al datgene te doen, wat niet zonder nadeel voor de betrokkene kan </w:t>
      </w:r>
      <w:r w:rsidRPr="00CB2638">
        <w:rPr>
          <w:rFonts w:ascii="Arial" w:eastAsia="Times New Roman" w:hAnsi="Arial" w:cs="Arial"/>
          <w:color w:val="191970"/>
          <w:sz w:val="18"/>
          <w:szCs w:val="18"/>
          <w:lang w:eastAsia="nl-NL"/>
        </w:rPr>
        <w:lastRenderedPageBreak/>
        <w:t>worden uitgesteld, totdat wederom een persoon bevoegd is ten aanzien van de aangelegenheden bedoeld in artikel 453, eerste lid, van dit boek. In de gevallen genoemd in het eerste lid, onder d, rust deze verplichting op diens curator of mentor, indien deze van het mentorschap kennisdraagt.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4.Artikel 384 van dit boek is van overeenkomstige toepassing.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r>
      <w:bookmarkStart w:id="27" w:name="artikel_462"/>
      <w:r w:rsidRPr="00CB2638">
        <w:rPr>
          <w:rFonts w:ascii="Arial" w:eastAsia="Times New Roman" w:hAnsi="Arial" w:cs="Arial"/>
          <w:color w:val="1E90FF"/>
          <w:sz w:val="18"/>
          <w:szCs w:val="18"/>
          <w:lang w:eastAsia="nl-NL"/>
        </w:rPr>
        <w:t>Artikel 462</w:t>
      </w:r>
      <w:bookmarkEnd w:id="27"/>
      <w:r w:rsidRPr="00CB2638">
        <w:rPr>
          <w:rFonts w:ascii="Arial" w:eastAsia="Times New Roman" w:hAnsi="Arial" w:cs="Arial"/>
          <w:color w:val="FC8207"/>
          <w:sz w:val="18"/>
          <w:szCs w:val="18"/>
          <w:lang w:eastAsia="nl-NL"/>
        </w:rPr>
        <w:t>Beëindigen mentorschap</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1.Het mentorschap eindigt door het verstrijken van de tijdsduur waarvoor het is ingesteld en door de dood of ondercuratelestelling van de betrokkene. </w:t>
      </w:r>
      <w:r w:rsidRPr="00CB2638">
        <w:rPr>
          <w:rFonts w:ascii="Arial" w:eastAsia="Times New Roman" w:hAnsi="Arial" w:cs="Arial"/>
          <w:color w:val="191970"/>
          <w:sz w:val="18"/>
          <w:szCs w:val="18"/>
          <w:lang w:eastAsia="nl-NL"/>
        </w:rPr>
        <w:br/>
      </w:r>
      <w:r w:rsidRPr="00CB2638">
        <w:rPr>
          <w:rFonts w:ascii="Arial" w:eastAsia="Times New Roman" w:hAnsi="Arial" w:cs="Arial"/>
          <w:color w:val="191970"/>
          <w:sz w:val="18"/>
          <w:szCs w:val="18"/>
          <w:lang w:eastAsia="nl-NL"/>
        </w:rPr>
        <w:br/>
        <w:t>2.De kantonrechter kan, indien de noodzaak daartoe niet meer bestaat, het mentorschap opheffen op verzoek van de betrokkene, zijn mentor of het openbaar ministerie. De beschikking treedt in werking zodra zij in kracht van gewijsde is gegaan, tenzij zij een eerder tijdstip van ingang aanwijst. </w:t>
      </w:r>
    </w:p>
    <w:p w:rsidR="00D23BAD" w:rsidRDefault="00D23BAD"/>
    <w:sectPr w:rsidR="00D23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38"/>
    <w:rsid w:val="000469AE"/>
    <w:rsid w:val="002564DF"/>
    <w:rsid w:val="00A12037"/>
    <w:rsid w:val="00C15C7E"/>
    <w:rsid w:val="00CB2638"/>
    <w:rsid w:val="00D23BAD"/>
    <w:rsid w:val="00DB4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B2DA3-BF9A-4FB0-A3DA-2DF3555E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B2638"/>
    <w:rPr>
      <w:color w:val="0000FF"/>
      <w:u w:val="single"/>
    </w:rPr>
  </w:style>
  <w:style w:type="paragraph" w:styleId="Normaalweb">
    <w:name w:val="Normal (Web)"/>
    <w:basedOn w:val="Standaard"/>
    <w:uiPriority w:val="99"/>
    <w:semiHidden/>
    <w:unhideWhenUsed/>
    <w:rsid w:val="00CB26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B2638"/>
  </w:style>
  <w:style w:type="character" w:customStyle="1" w:styleId="googqs-tidbit">
    <w:name w:val="goog_qs-tidbit"/>
    <w:basedOn w:val="Standaardalinea-lettertype"/>
    <w:rsid w:val="00CB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wwet.nl/wetten-en-regelingen/privaatrecht/burgerlijk-wetboek-1/inhoudsopgave.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3381</Words>
  <Characters>18600</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21938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dc:creator>
  <cp:keywords/>
  <dc:description/>
  <cp:lastModifiedBy>Terence</cp:lastModifiedBy>
  <cp:revision>3</cp:revision>
  <dcterms:created xsi:type="dcterms:W3CDTF">2013-07-18T01:10:00Z</dcterms:created>
  <dcterms:modified xsi:type="dcterms:W3CDTF">2013-07-28T06:58:00Z</dcterms:modified>
</cp:coreProperties>
</file>